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309A" w14:textId="77777777" w:rsidR="00967CC2" w:rsidRDefault="00967CC2" w:rsidP="00E4550E">
      <w:pPr>
        <w:pStyle w:val="Figurecaption"/>
        <w:jc w:val="center"/>
      </w:pPr>
      <w:r>
        <w:rPr>
          <w:noProof/>
          <w:lang w:eastAsia="zh-CN" w:bidi="ar-SA"/>
        </w:rPr>
        <w:drawing>
          <wp:inline distT="0" distB="0" distL="0" distR="0" wp14:anchorId="1549F11A" wp14:editId="50B332BC">
            <wp:extent cx="2039348" cy="2202512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59381" cy="2224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0F4222" w14:textId="72417400" w:rsidR="00967CC2" w:rsidRDefault="00967CC2" w:rsidP="00E4550E">
      <w:pPr>
        <w:pStyle w:val="Figurecaption"/>
      </w:pPr>
      <w:r w:rsidRPr="000365C6">
        <w:rPr>
          <w:b/>
        </w:rPr>
        <w:t>Supplementary Fig</w:t>
      </w:r>
      <w:r w:rsidR="000E7719">
        <w:rPr>
          <w:b/>
        </w:rPr>
        <w:t xml:space="preserve">. </w:t>
      </w:r>
      <w:r w:rsidRPr="00834938">
        <w:rPr>
          <w:b/>
        </w:rPr>
        <w:t>1. Marker expression of the epithelial cell layer of the human lung-on-chip model.</w:t>
      </w:r>
      <w:r w:rsidRPr="007431DB">
        <w:t xml:space="preserve"> Expression of epithelial marker zona</w:t>
      </w:r>
      <w:r w:rsidRPr="007431DB">
        <w:rPr>
          <w:rFonts w:hint="eastAsia"/>
        </w:rPr>
        <w:t xml:space="preserve"> </w:t>
      </w:r>
      <w:r w:rsidRPr="007431DB">
        <w:t>occludens-1 (purple) and for macrophage marker CD68 (green)</w:t>
      </w:r>
      <w:r>
        <w:t>,</w:t>
      </w:r>
      <w:r w:rsidRPr="007431DB">
        <w:t xml:space="preserve"> as confirmed by immunofluorescence staining. Nuclei were stained</w:t>
      </w:r>
      <w:r w:rsidRPr="007431DB">
        <w:rPr>
          <w:rFonts w:hint="eastAsia"/>
        </w:rPr>
        <w:t xml:space="preserve"> </w:t>
      </w:r>
      <w:r w:rsidRPr="007431DB">
        <w:t>with 4′,6-diamidin-2</w:t>
      </w:r>
      <w:r w:rsidR="00A67521" w:rsidRPr="007431DB">
        <w:t>-</w:t>
      </w:r>
      <w:r w:rsidRPr="007431DB">
        <w:t>phenylindol (DAPI), shown in blue. Lower panel shows images in shading projection/view. Scale bar represents</w:t>
      </w:r>
      <w:r w:rsidRPr="007431DB">
        <w:rPr>
          <w:rFonts w:hint="eastAsia"/>
        </w:rPr>
        <w:t xml:space="preserve"> </w:t>
      </w:r>
      <w:r w:rsidRPr="007431DB">
        <w:t xml:space="preserve">70 </w:t>
      </w:r>
      <w:proofErr w:type="spellStart"/>
      <w:r w:rsidRPr="007431DB">
        <w:t>μm</w:t>
      </w:r>
      <w:proofErr w:type="spellEnd"/>
      <w:r w:rsidRPr="007431DB">
        <w:t>.</w:t>
      </w:r>
      <w:r>
        <w:t xml:space="preserve"> N</w:t>
      </w:r>
      <w:r w:rsidR="00D30F8F">
        <w:t xml:space="preserve"> </w:t>
      </w:r>
      <w:r>
        <w:t>=</w:t>
      </w:r>
      <w:r w:rsidR="00D30F8F">
        <w:t xml:space="preserve"> </w:t>
      </w:r>
      <w:r>
        <w:t>3.</w:t>
      </w:r>
    </w:p>
    <w:p w14:paraId="2069096A" w14:textId="77777777" w:rsidR="00D30F8F" w:rsidRDefault="00D30F8F" w:rsidP="00E4550E">
      <w:pPr>
        <w:pStyle w:val="Figurecaption"/>
      </w:pPr>
    </w:p>
    <w:p w14:paraId="789AF31B" w14:textId="77777777" w:rsidR="00967CC2" w:rsidRDefault="00967CC2" w:rsidP="00E4550E">
      <w:pPr>
        <w:suppressAutoHyphen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AE2A4C" wp14:editId="05994A7A">
            <wp:extent cx="1959626" cy="2091193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75637" cy="21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6D5D93" w14:textId="77777777" w:rsidR="00967CC2" w:rsidRDefault="00967CC2" w:rsidP="00D30F8F">
      <w:pPr>
        <w:pStyle w:val="Figurecaption"/>
      </w:pPr>
      <w:r w:rsidRPr="007431DB">
        <w:rPr>
          <w:b/>
        </w:rPr>
        <w:t xml:space="preserve">Supplementary </w:t>
      </w:r>
      <w:r w:rsidRPr="00D30F8F">
        <w:rPr>
          <w:b/>
        </w:rPr>
        <w:t>Fig</w:t>
      </w:r>
      <w:r w:rsidR="00D30F8F" w:rsidRPr="00D30F8F">
        <w:rPr>
          <w:b/>
        </w:rPr>
        <w:t>.</w:t>
      </w:r>
      <w:r w:rsidRPr="00D30F8F">
        <w:rPr>
          <w:b/>
        </w:rPr>
        <w:t xml:space="preserve"> 2. Expression of epithelial marker</w:t>
      </w:r>
      <w:r w:rsidRPr="00D30F8F">
        <w:rPr>
          <w:rFonts w:hint="eastAsia"/>
          <w:b/>
        </w:rPr>
        <w:t xml:space="preserve"> </w:t>
      </w:r>
      <w:r w:rsidRPr="00D30F8F">
        <w:rPr>
          <w:b/>
        </w:rPr>
        <w:t xml:space="preserve">E-cadherin (green), as confirmed by immunofluorescence staining. </w:t>
      </w:r>
      <w:r w:rsidRPr="007431DB">
        <w:t>Nuclei were stained with</w:t>
      </w:r>
      <w:r w:rsidRPr="007431DB">
        <w:rPr>
          <w:rFonts w:hint="eastAsia"/>
        </w:rPr>
        <w:t xml:space="preserve"> </w:t>
      </w:r>
      <w:r w:rsidRPr="007431DB">
        <w:t xml:space="preserve">4′,6-diamidin-2-phenylindol (DAPI), shown in blue. Scale bar represents 70 </w:t>
      </w:r>
      <w:proofErr w:type="spellStart"/>
      <w:r w:rsidRPr="007431DB">
        <w:t>μm</w:t>
      </w:r>
      <w:proofErr w:type="spellEnd"/>
      <w:r w:rsidRPr="007431DB">
        <w:t>.</w:t>
      </w:r>
      <w:r>
        <w:t xml:space="preserve"> N</w:t>
      </w:r>
      <w:r w:rsidR="00D30F8F">
        <w:t xml:space="preserve"> </w:t>
      </w:r>
      <w:r>
        <w:t>=</w:t>
      </w:r>
      <w:r w:rsidR="00D30F8F">
        <w:t xml:space="preserve"> </w:t>
      </w:r>
      <w:r>
        <w:t>3.</w:t>
      </w:r>
    </w:p>
    <w:p w14:paraId="5DABB986" w14:textId="77777777" w:rsidR="00967CC2" w:rsidRDefault="00967CC2" w:rsidP="00E4550E">
      <w:pPr>
        <w:suppressAutoHyphens/>
        <w:jc w:val="left"/>
      </w:pPr>
    </w:p>
    <w:p w14:paraId="1FF943E4" w14:textId="77777777" w:rsidR="00967CC2" w:rsidRDefault="00967CC2" w:rsidP="00E4550E">
      <w:pPr>
        <w:suppressAutoHyphen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4CAEBE1" wp14:editId="57C81478">
            <wp:extent cx="2021453" cy="2151859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53638" cy="2186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AE3F1F" w14:textId="77777777" w:rsidR="00782118" w:rsidRDefault="00967CC2" w:rsidP="00F972B0">
      <w:pPr>
        <w:pStyle w:val="Figurecaption"/>
      </w:pPr>
      <w:bookmarkStart w:id="0" w:name="_Hlk129126093"/>
      <w:r w:rsidRPr="007431DB">
        <w:rPr>
          <w:b/>
        </w:rPr>
        <w:t>Supplementary Fig</w:t>
      </w:r>
      <w:r w:rsidR="00F106DE">
        <w:rPr>
          <w:b/>
        </w:rPr>
        <w:t>.</w:t>
      </w:r>
      <w:r w:rsidRPr="007431DB">
        <w:rPr>
          <w:b/>
        </w:rPr>
        <w:t xml:space="preserve"> </w:t>
      </w:r>
      <w:r w:rsidRPr="00F106DE">
        <w:rPr>
          <w:b/>
        </w:rPr>
        <w:t>3</w:t>
      </w:r>
      <w:bookmarkEnd w:id="0"/>
      <w:r w:rsidRPr="00F106DE">
        <w:rPr>
          <w:b/>
        </w:rPr>
        <w:t>. Expression of epithelial marker</w:t>
      </w:r>
      <w:r w:rsidRPr="00F106DE">
        <w:rPr>
          <w:rFonts w:hint="eastAsia"/>
          <w:b/>
        </w:rPr>
        <w:t xml:space="preserve"> </w:t>
      </w:r>
      <w:r w:rsidRPr="00F106DE">
        <w:rPr>
          <w:b/>
        </w:rPr>
        <w:t>surfactant protein A (SP-A) (green), as confirmed by immunofluorescence staining.</w:t>
      </w:r>
      <w:r w:rsidRPr="007431DB">
        <w:t xml:space="preserve"> Nuclei were stained with</w:t>
      </w:r>
      <w:r w:rsidRPr="007431DB">
        <w:rPr>
          <w:rFonts w:hint="eastAsia"/>
        </w:rPr>
        <w:t xml:space="preserve"> </w:t>
      </w:r>
      <w:r w:rsidRPr="007431DB">
        <w:t xml:space="preserve">4′,6-diamidin-2-phenylindol (DAPI), shown in blue. Scale bar represents 70 </w:t>
      </w:r>
      <w:proofErr w:type="spellStart"/>
      <w:r w:rsidRPr="007431DB">
        <w:t>μm</w:t>
      </w:r>
      <w:proofErr w:type="spellEnd"/>
      <w:r w:rsidRPr="007431DB">
        <w:t>.</w:t>
      </w:r>
      <w:r>
        <w:t xml:space="preserve"> N</w:t>
      </w:r>
      <w:r w:rsidR="00CD4111">
        <w:t xml:space="preserve"> </w:t>
      </w:r>
      <w:r>
        <w:t>=</w:t>
      </w:r>
      <w:r w:rsidR="00CD4111">
        <w:t xml:space="preserve"> </w:t>
      </w:r>
      <w:r>
        <w:t>3.</w:t>
      </w:r>
    </w:p>
    <w:p w14:paraId="0FB85212" w14:textId="77777777" w:rsidR="005B1EF7" w:rsidRDefault="005B1EF7" w:rsidP="00F972B0">
      <w:pPr>
        <w:pStyle w:val="Figurecaption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5B1EF7" w:rsidRPr="005C5D8B" w14:paraId="529040AF" w14:textId="77777777" w:rsidTr="005B1EF7">
        <w:trPr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2D312CCB" w14:textId="77777777" w:rsidR="005B1EF7" w:rsidRPr="005C5D8B" w:rsidRDefault="005B1EF7" w:rsidP="005F650F">
            <w:pPr>
              <w:suppressAutoHyphens/>
              <w:jc w:val="center"/>
              <w:textAlignment w:val="top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5C5D8B">
              <w:rPr>
                <w:rFonts w:ascii="Times New Roman" w:hAnsi="Times New Roman"/>
                <w:szCs w:val="24"/>
              </w:rPr>
              <w:t>A</w:t>
            </w:r>
            <w:r w:rsidRPr="005C5D8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</w:t>
            </w:r>
            <w:r w:rsidRPr="005C5D8B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31C6117E" wp14:editId="1699D6B5">
                  <wp:extent cx="2100943" cy="420188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453" cy="422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5D8B">
              <w:rPr>
                <w:rFonts w:ascii="Times New Roman" w:hAnsi="Times New Roman"/>
                <w:szCs w:val="24"/>
              </w:rPr>
              <w:t>B</w:t>
            </w:r>
            <w:r w:rsidRPr="005C5D8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</w:t>
            </w:r>
            <w:r w:rsidRPr="005C5D8B">
              <w:rPr>
                <w:rFonts w:ascii="Times New Roman" w:hAnsi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26CE9F9E" wp14:editId="5FCE3D46">
                  <wp:extent cx="2100942" cy="4201882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047" cy="4266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0E6AB8" w14:textId="28C0E34B" w:rsidR="005B1EF7" w:rsidRPr="005C5D8B" w:rsidRDefault="005B1EF7" w:rsidP="00DB599B">
      <w:pPr>
        <w:pStyle w:val="Figurecaption"/>
      </w:pPr>
      <w:r w:rsidRPr="005C5D8B">
        <w:rPr>
          <w:b/>
        </w:rPr>
        <w:t>Supplementary Fig</w:t>
      </w:r>
      <w:r w:rsidR="00DB599B" w:rsidRPr="00B7197C">
        <w:rPr>
          <w:b/>
        </w:rPr>
        <w:t>.</w:t>
      </w:r>
      <w:r w:rsidRPr="00B7197C">
        <w:rPr>
          <w:b/>
        </w:rPr>
        <w:t xml:space="preserve"> 4. Analysis of communication network of secreted signals between influenza A virus-infected and uninfected groups.</w:t>
      </w:r>
      <w:r w:rsidRPr="005C5D8B">
        <w:t xml:space="preserve"> </w:t>
      </w:r>
      <w:r w:rsidR="009E202B">
        <w:t>(A)</w:t>
      </w:r>
      <w:r w:rsidRPr="005C5D8B">
        <w:t xml:space="preserve"> Communication network of secreted signals between B cells and CD4</w:t>
      </w:r>
      <w:r w:rsidR="00F4637A">
        <w:t xml:space="preserve"> </w:t>
      </w:r>
      <w:r w:rsidRPr="005C5D8B">
        <w:t>T cells in infl</w:t>
      </w:r>
      <w:r w:rsidR="009E202B">
        <w:t>uenza A virus-infected group. (B)</w:t>
      </w:r>
      <w:r w:rsidRPr="005C5D8B">
        <w:t xml:space="preserve"> Communication network of secreted signals between B cells and CD4</w:t>
      </w:r>
      <w:r w:rsidR="00F4637A">
        <w:t xml:space="preserve"> </w:t>
      </w:r>
      <w:r w:rsidRPr="005C5D8B">
        <w:t xml:space="preserve">T cells in the control group. The dotted ones in the figure represent the significance of the </w:t>
      </w:r>
      <w:r w:rsidRPr="009E202B">
        <w:rPr>
          <w:i/>
        </w:rPr>
        <w:t>p</w:t>
      </w:r>
      <w:r w:rsidRPr="005C5D8B">
        <w:t>-value of the communication effect, and the dot</w:t>
      </w:r>
      <w:r w:rsidR="00F4637A">
        <w:t>’</w:t>
      </w:r>
      <w:r w:rsidRPr="005C5D8B">
        <w:t>s color represents the communication intensity.</w:t>
      </w:r>
    </w:p>
    <w:p w14:paraId="5B20D2F5" w14:textId="77777777" w:rsidR="005B1EF7" w:rsidRPr="009F576C" w:rsidRDefault="005B1EF7" w:rsidP="00F972B0">
      <w:pPr>
        <w:pStyle w:val="Figurecaption"/>
        <w:rPr>
          <w:rFonts w:eastAsiaTheme="minorEastAsia"/>
        </w:rPr>
      </w:pPr>
    </w:p>
    <w:sectPr w:rsidR="005B1EF7" w:rsidRPr="009F576C" w:rsidSect="00F972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851" w:header="283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9867" w14:textId="77777777" w:rsidR="00E42019" w:rsidRDefault="00E42019" w:rsidP="00B838C5">
      <w:pPr>
        <w:spacing w:line="240" w:lineRule="auto"/>
        <w:ind w:firstLine="420"/>
      </w:pPr>
      <w:r>
        <w:separator/>
      </w:r>
    </w:p>
  </w:endnote>
  <w:endnote w:type="continuationSeparator" w:id="0">
    <w:p w14:paraId="23BD77A3" w14:textId="77777777" w:rsidR="00E42019" w:rsidRDefault="00E42019" w:rsidP="00B838C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imbusRomNo9L"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8042" w14:textId="77777777" w:rsidR="00B838C5" w:rsidRDefault="00B838C5">
    <w:pPr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DAC2" w14:textId="77777777" w:rsidR="00B838C5" w:rsidRDefault="00B838C5">
    <w:pPr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64C0" w14:textId="77777777" w:rsidR="00B838C5" w:rsidRDefault="00B838C5">
    <w:pPr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E7F0" w14:textId="77777777" w:rsidR="00E42019" w:rsidRDefault="00E42019" w:rsidP="00B838C5">
      <w:pPr>
        <w:spacing w:line="240" w:lineRule="auto"/>
        <w:ind w:firstLine="420"/>
      </w:pPr>
      <w:r>
        <w:separator/>
      </w:r>
    </w:p>
  </w:footnote>
  <w:footnote w:type="continuationSeparator" w:id="0">
    <w:p w14:paraId="0677834F" w14:textId="77777777" w:rsidR="00E42019" w:rsidRDefault="00E42019" w:rsidP="00B838C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EE6B" w14:textId="77777777" w:rsidR="00B838C5" w:rsidRDefault="00B838C5">
    <w:pPr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5430" w14:textId="77777777" w:rsidR="00B838C5" w:rsidRDefault="00B838C5" w:rsidP="00B838C5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10D8" w14:textId="77777777" w:rsidR="00B838C5" w:rsidRDefault="00B838C5">
    <w:pPr>
      <w:ind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953EDEF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632904">
    <w:abstractNumId w:val="1"/>
  </w:num>
  <w:num w:numId="2" w16cid:durableId="165638118">
    <w:abstractNumId w:val="1"/>
  </w:num>
  <w:num w:numId="3" w16cid:durableId="1884171784">
    <w:abstractNumId w:val="1"/>
  </w:num>
  <w:num w:numId="4" w16cid:durableId="624194478">
    <w:abstractNumId w:val="1"/>
  </w:num>
  <w:num w:numId="5" w16cid:durableId="471797686">
    <w:abstractNumId w:val="1"/>
  </w:num>
  <w:num w:numId="6" w16cid:durableId="416555460">
    <w:abstractNumId w:val="1"/>
  </w:num>
  <w:num w:numId="7" w16cid:durableId="517700706">
    <w:abstractNumId w:val="1"/>
  </w:num>
  <w:num w:numId="8" w16cid:durableId="1309440277">
    <w:abstractNumId w:val="1"/>
  </w:num>
  <w:num w:numId="9" w16cid:durableId="546794335">
    <w:abstractNumId w:val="1"/>
  </w:num>
  <w:num w:numId="10" w16cid:durableId="363406024">
    <w:abstractNumId w:val="1"/>
  </w:num>
  <w:num w:numId="11" w16cid:durableId="290595038">
    <w:abstractNumId w:val="1"/>
  </w:num>
  <w:num w:numId="12" w16cid:durableId="1831553120">
    <w:abstractNumId w:val="1"/>
  </w:num>
  <w:num w:numId="13" w16cid:durableId="484401205">
    <w:abstractNumId w:val="0"/>
  </w:num>
  <w:num w:numId="14" w16cid:durableId="2089426091">
    <w:abstractNumId w:val="2"/>
  </w:num>
  <w:num w:numId="15" w16cid:durableId="447895441">
    <w:abstractNumId w:val="1"/>
  </w:num>
  <w:num w:numId="16" w16cid:durableId="858545338">
    <w:abstractNumId w:val="1"/>
  </w:num>
  <w:num w:numId="17" w16cid:durableId="931015893">
    <w:abstractNumId w:val="1"/>
  </w:num>
  <w:num w:numId="18" w16cid:durableId="200940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47"/>
    <w:rsid w:val="00047242"/>
    <w:rsid w:val="00053358"/>
    <w:rsid w:val="000E7719"/>
    <w:rsid w:val="00223EE7"/>
    <w:rsid w:val="002C5B11"/>
    <w:rsid w:val="002D4847"/>
    <w:rsid w:val="00306C79"/>
    <w:rsid w:val="00355F69"/>
    <w:rsid w:val="00361680"/>
    <w:rsid w:val="0046543B"/>
    <w:rsid w:val="00542B41"/>
    <w:rsid w:val="005B1EF7"/>
    <w:rsid w:val="005E3F0D"/>
    <w:rsid w:val="00690E7B"/>
    <w:rsid w:val="006C61C3"/>
    <w:rsid w:val="00782118"/>
    <w:rsid w:val="007E4CE6"/>
    <w:rsid w:val="00834938"/>
    <w:rsid w:val="00860106"/>
    <w:rsid w:val="00967CC2"/>
    <w:rsid w:val="009E202B"/>
    <w:rsid w:val="009F576C"/>
    <w:rsid w:val="00A67521"/>
    <w:rsid w:val="00B7197C"/>
    <w:rsid w:val="00B838C5"/>
    <w:rsid w:val="00C05CD4"/>
    <w:rsid w:val="00CD4111"/>
    <w:rsid w:val="00D30F8F"/>
    <w:rsid w:val="00D35FC6"/>
    <w:rsid w:val="00D85A7A"/>
    <w:rsid w:val="00DB599B"/>
    <w:rsid w:val="00E42019"/>
    <w:rsid w:val="00E4550E"/>
    <w:rsid w:val="00E86111"/>
    <w:rsid w:val="00F106DE"/>
    <w:rsid w:val="00F4637A"/>
    <w:rsid w:val="00F9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8D12F"/>
  <w15:chartTrackingRefBased/>
  <w15:docId w15:val="{2B81123C-02B2-4FDD-8029-1FC91251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CC2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2C5B11"/>
    <w:pPr>
      <w:widowControl w:val="0"/>
      <w:autoSpaceDE w:val="0"/>
      <w:autoSpaceDN w:val="0"/>
      <w:adjustRightInd w:val="0"/>
      <w:spacing w:beforeLines="100" w:before="312" w:afterLines="100" w:after="312" w:line="240" w:lineRule="auto"/>
      <w:ind w:left="431" w:hanging="431"/>
      <w:jc w:val="left"/>
      <w:outlineLvl w:val="0"/>
    </w:pPr>
    <w:rPr>
      <w:rFonts w:ascii="Times New Roman" w:eastAsia="Times New Roman" w:hAnsi="Times New Roman" w:cs="Book Antiqua"/>
      <w:b/>
      <w:bCs/>
      <w:color w:val="auto"/>
      <w:sz w:val="24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2C5B11"/>
    <w:pPr>
      <w:keepNext/>
      <w:keepLines/>
      <w:widowControl w:val="0"/>
      <w:spacing w:beforeLines="50" w:before="156" w:afterLines="50" w:after="156" w:line="240" w:lineRule="auto"/>
      <w:ind w:left="578" w:hanging="578"/>
      <w:outlineLvl w:val="1"/>
    </w:pPr>
    <w:rPr>
      <w:rFonts w:ascii="Times New Roman" w:eastAsia="Times New Roman" w:hAnsi="Times New Roman"/>
      <w:b/>
      <w:bCs/>
      <w:i/>
      <w:color w:val="auto"/>
      <w:kern w:val="2"/>
      <w:sz w:val="22"/>
      <w:szCs w:val="21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2C5B11"/>
    <w:pPr>
      <w:keepNext/>
      <w:keepLines/>
      <w:widowControl w:val="0"/>
      <w:spacing w:beforeLines="50" w:before="156" w:afterLines="50" w:after="156" w:line="240" w:lineRule="auto"/>
      <w:outlineLvl w:val="2"/>
    </w:pPr>
    <w:rPr>
      <w:rFonts w:ascii="Times New Roman" w:eastAsia="Times New Roman" w:hAnsi="Times New Roman"/>
      <w:bCs/>
      <w:i/>
      <w:color w:val="auto"/>
      <w:kern w:val="2"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2C5B11"/>
    <w:pPr>
      <w:keepNext/>
      <w:keepLines/>
      <w:widowControl w:val="0"/>
      <w:spacing w:before="280" w:after="290" w:line="376" w:lineRule="auto"/>
      <w:ind w:firstLineChars="200" w:firstLine="320"/>
      <w:outlineLvl w:val="3"/>
    </w:pPr>
    <w:rPr>
      <w:rFonts w:ascii="Calibri Light" w:eastAsia="NimbusRomNo9L" w:hAnsi="Calibri Light" w:cs="NimbusRomNo9L"/>
      <w:b/>
      <w:bCs/>
      <w:color w:val="auto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B11"/>
    <w:pPr>
      <w:keepNext/>
      <w:keepLines/>
      <w:widowControl w:val="0"/>
      <w:numPr>
        <w:ilvl w:val="5"/>
        <w:numId w:val="18"/>
      </w:numPr>
      <w:spacing w:before="240" w:after="64" w:line="320" w:lineRule="auto"/>
      <w:ind w:firstLine="0"/>
      <w:outlineLvl w:val="5"/>
    </w:pPr>
    <w:rPr>
      <w:rFonts w:asciiTheme="majorHAnsi" w:eastAsiaTheme="majorEastAsia" w:hAnsiTheme="majorHAnsi" w:cstheme="majorBidi"/>
      <w:b/>
      <w:bCs/>
      <w:color w:val="auto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B11"/>
    <w:pPr>
      <w:keepNext/>
      <w:keepLines/>
      <w:widowControl w:val="0"/>
      <w:numPr>
        <w:ilvl w:val="6"/>
        <w:numId w:val="18"/>
      </w:numPr>
      <w:spacing w:before="240" w:after="64" w:line="320" w:lineRule="auto"/>
      <w:ind w:firstLine="0"/>
      <w:outlineLvl w:val="6"/>
    </w:pPr>
    <w:rPr>
      <w:rFonts w:ascii="Times New Roman" w:eastAsia="Times New Roman" w:hAnsi="Times New Roman"/>
      <w:b/>
      <w:bCs/>
      <w:color w:val="auto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B11"/>
    <w:pPr>
      <w:keepNext/>
      <w:keepLines/>
      <w:widowControl w:val="0"/>
      <w:numPr>
        <w:ilvl w:val="7"/>
        <w:numId w:val="18"/>
      </w:numPr>
      <w:spacing w:before="240" w:after="64" w:line="320" w:lineRule="auto"/>
      <w:ind w:firstLine="0"/>
      <w:outlineLvl w:val="7"/>
    </w:pPr>
    <w:rPr>
      <w:rFonts w:asciiTheme="majorHAnsi" w:eastAsiaTheme="majorEastAsia" w:hAnsiTheme="majorHAnsi" w:cstheme="majorBidi"/>
      <w:color w:val="auto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B11"/>
    <w:pPr>
      <w:keepNext/>
      <w:keepLines/>
      <w:widowControl w:val="0"/>
      <w:numPr>
        <w:ilvl w:val="8"/>
        <w:numId w:val="18"/>
      </w:numPr>
      <w:spacing w:before="240" w:after="64" w:line="320" w:lineRule="auto"/>
      <w:ind w:firstLine="0"/>
      <w:outlineLvl w:val="8"/>
    </w:pPr>
    <w:rPr>
      <w:rFonts w:asciiTheme="majorHAnsi" w:eastAsiaTheme="majorEastAsia" w:hAnsiTheme="majorHAnsi" w:cstheme="majorBidi"/>
      <w:color w:val="aut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gurecaption">
    <w:name w:val="Figure caption"/>
    <w:uiPriority w:val="14"/>
    <w:qFormat/>
    <w:rsid w:val="00967CC2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character" w:customStyle="1" w:styleId="10">
    <w:name w:val="标题 1 字符"/>
    <w:aliases w:val="一级标题 字符"/>
    <w:link w:val="1"/>
    <w:uiPriority w:val="1"/>
    <w:rsid w:val="002C5B11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2C5B11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2C5B11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2C5B11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2C5B1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C5B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C5B11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C5B11"/>
    <w:rPr>
      <w:rFonts w:asciiTheme="majorHAnsi" w:eastAsiaTheme="majorEastAsia" w:hAnsiTheme="majorHAnsi" w:cstheme="majorBidi"/>
      <w:szCs w:val="21"/>
    </w:rPr>
  </w:style>
  <w:style w:type="table" w:styleId="a3">
    <w:name w:val="Table Grid"/>
    <w:basedOn w:val="a1"/>
    <w:uiPriority w:val="39"/>
    <w:rsid w:val="005B1EF7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t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</dc:creator>
  <cp:keywords/>
  <dc:description/>
  <cp:lastModifiedBy>Kimberly</cp:lastModifiedBy>
  <cp:revision>4</cp:revision>
  <dcterms:created xsi:type="dcterms:W3CDTF">2023-05-26T00:38:00Z</dcterms:created>
  <dcterms:modified xsi:type="dcterms:W3CDTF">2023-06-16T02:38:00Z</dcterms:modified>
</cp:coreProperties>
</file>